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4D5241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4554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D4554E">
        <w:t>104bis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A447CE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A24BE8">
        <w:rPr>
          <w:sz w:val="32"/>
          <w:szCs w:val="32"/>
        </w:rPr>
        <w:t>2216</w:t>
      </w:r>
      <w:r w:rsidR="00834DF2">
        <w:rPr>
          <w:sz w:val="32"/>
          <w:szCs w:val="32"/>
        </w:rPr>
        <w:t>400</w:t>
      </w:r>
    </w:p>
    <w:p w14:paraId="0CE7B7E6" w14:textId="1757C293" w:rsidR="00E90E49" w:rsidRPr="00CE0424" w:rsidRDefault="00D4554E" w:rsidP="00311702">
      <w:pPr>
        <w:pStyle w:val="3GPPHeader"/>
      </w:pPr>
      <w:r w:rsidRPr="009740F8">
        <w:t>Electronic meeting</w:t>
      </w:r>
      <w:r w:rsidR="0027144F" w:rsidRPr="009740F8">
        <w:t xml:space="preserve">, </w:t>
      </w:r>
      <w:r w:rsidRPr="009740F8">
        <w:t>October</w:t>
      </w:r>
      <w:r w:rsidR="0027144F" w:rsidRPr="009740F8">
        <w:t xml:space="preserve"> </w:t>
      </w:r>
      <w:r w:rsidR="009740F8" w:rsidRPr="009740F8">
        <w:t>10</w:t>
      </w:r>
      <w:r w:rsidR="001D53E7" w:rsidRPr="009740F8">
        <w:t xml:space="preserve">th – </w:t>
      </w:r>
      <w:r w:rsidR="009740F8" w:rsidRPr="009740F8">
        <w:t>19</w:t>
      </w:r>
      <w:r w:rsidR="001D53E7" w:rsidRPr="009740F8">
        <w:t>th</w:t>
      </w:r>
      <w:r w:rsidR="00C37CB2" w:rsidRPr="009740F8">
        <w:t xml:space="preserve"> </w:t>
      </w:r>
      <w:r w:rsidR="0027144F" w:rsidRPr="009740F8">
        <w:t>20</w:t>
      </w:r>
      <w:r w:rsidR="009740F8" w:rsidRPr="009740F8">
        <w:t>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1811E95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75D3F">
        <w:rPr>
          <w:sz w:val="22"/>
          <w:lang w:val="sv-FI"/>
        </w:rPr>
        <w:t>6.13.4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751031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75D3F">
        <w:rPr>
          <w:sz w:val="22"/>
        </w:rPr>
        <w:t>ATG BS requirements</w:t>
      </w:r>
    </w:p>
    <w:p w14:paraId="025260C1" w14:textId="701A766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B377A5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19996EF1" w:rsidR="00477768" w:rsidRPr="00CE0424" w:rsidRDefault="00615A2A" w:rsidP="00CE0424">
      <w:pPr>
        <w:pStyle w:val="BodyText"/>
      </w:pPr>
      <w:r>
        <w:t>During RAN4#104-e, a WF was agreed on ATG BS requirements. Many BS requirements are already resolved. This document provides some views on remaining issues.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69D25E4A" w:rsidR="00F63950" w:rsidRDefault="00230D18" w:rsidP="00F63950">
      <w:pPr>
        <w:pStyle w:val="Heading2"/>
      </w:pPr>
      <w:r>
        <w:t>2.1</w:t>
      </w:r>
      <w:r>
        <w:tab/>
      </w:r>
      <w:r w:rsidR="00CA37CB">
        <w:t xml:space="preserve">BS class </w:t>
      </w:r>
      <w:r w:rsidR="005754D5">
        <w:t xml:space="preserve">and type </w:t>
      </w:r>
      <w:r w:rsidR="00CA37CB">
        <w:t>for</w:t>
      </w:r>
      <w:r w:rsidR="00876A69">
        <w:t xml:space="preserve"> ATG BS</w:t>
      </w:r>
    </w:p>
    <w:p w14:paraId="5BD07D28" w14:textId="020FBD1D" w:rsidR="00876A69" w:rsidRDefault="00876A69" w:rsidP="00876A69">
      <w:pPr>
        <w:rPr>
          <w:lang w:val="en-GB" w:eastAsia="ja-JP"/>
        </w:rPr>
      </w:pPr>
      <w:r>
        <w:rPr>
          <w:lang w:val="en-GB" w:eastAsia="ja-JP"/>
        </w:rPr>
        <w:t xml:space="preserve">It was agreed </w:t>
      </w:r>
      <w:r w:rsidR="00933979">
        <w:rPr>
          <w:lang w:val="en-GB" w:eastAsia="ja-JP"/>
        </w:rPr>
        <w:t>to define a BS class for ATG. The proposed description is as follows:</w:t>
      </w:r>
    </w:p>
    <w:p w14:paraId="30D6C259" w14:textId="512E8855" w:rsidR="00933979" w:rsidRPr="00933979" w:rsidRDefault="00933979" w:rsidP="00876A69">
      <w:pPr>
        <w:rPr>
          <w:i/>
          <w:iCs/>
          <w:lang w:val="en-GB" w:eastAsia="ja-JP"/>
        </w:rPr>
      </w:pPr>
      <w:r w:rsidRPr="00933979">
        <w:rPr>
          <w:i/>
          <w:iCs/>
          <w:lang w:val="en-GB" w:eastAsia="ja-JP"/>
        </w:rPr>
        <w:t>ATG Base Stations are characterized by requirements derived from ATG scenarios with a ground BS to air UE with typical vertical altitude range [TBD km]</w:t>
      </w:r>
    </w:p>
    <w:p w14:paraId="7B3E9AC4" w14:textId="56B4E77D" w:rsidR="00933979" w:rsidRDefault="00933979" w:rsidP="00876A69">
      <w:pPr>
        <w:rPr>
          <w:lang w:val="en-GB" w:eastAsia="ja-JP"/>
        </w:rPr>
      </w:pPr>
      <w:r>
        <w:rPr>
          <w:lang w:val="en-GB" w:eastAsia="ja-JP"/>
        </w:rPr>
        <w:t>This description of the ATG deployment scenario is reasonable for a class definition.</w:t>
      </w:r>
    </w:p>
    <w:p w14:paraId="752195C0" w14:textId="36B226C8" w:rsidR="00894904" w:rsidRDefault="00894904" w:rsidP="00894904">
      <w:pPr>
        <w:pStyle w:val="Proposal"/>
        <w:rPr>
          <w:lang w:val="en-GB"/>
        </w:rPr>
      </w:pPr>
      <w:bookmarkStart w:id="1" w:name="_Toc115278883"/>
      <w:r>
        <w:rPr>
          <w:lang w:val="en-GB"/>
        </w:rPr>
        <w:t>Confirm the following description for the ATG BS class: “</w:t>
      </w:r>
      <w:r w:rsidRPr="00894904">
        <w:rPr>
          <w:lang w:val="en-GB"/>
        </w:rPr>
        <w:t>ATG Base Stations are characterized by requirements derived from ATG scenarios with a ground BS to air UE with typical vertical altitude range [TBD km]</w:t>
      </w:r>
      <w:r>
        <w:rPr>
          <w:lang w:val="en-GB"/>
        </w:rPr>
        <w:t>”</w:t>
      </w:r>
      <w:bookmarkEnd w:id="1"/>
    </w:p>
    <w:p w14:paraId="1485B30E" w14:textId="42DD9731" w:rsidR="00933979" w:rsidRDefault="00894904" w:rsidP="00876A69">
      <w:pPr>
        <w:rPr>
          <w:lang w:val="en-GB" w:eastAsia="ja-JP"/>
        </w:rPr>
      </w:pPr>
      <w:proofErr w:type="gramStart"/>
      <w:r>
        <w:rPr>
          <w:lang w:val="en-GB" w:eastAsia="ja-JP"/>
        </w:rPr>
        <w:t>Assuming that</w:t>
      </w:r>
      <w:proofErr w:type="gramEnd"/>
      <w:r>
        <w:rPr>
          <w:lang w:val="en-GB" w:eastAsia="ja-JP"/>
        </w:rPr>
        <w:t xml:space="preserve"> all but a few requirements for the ATG BS class are the same as the </w:t>
      </w:r>
      <w:r w:rsidR="008A585F">
        <w:rPr>
          <w:lang w:val="en-GB" w:eastAsia="ja-JP"/>
        </w:rPr>
        <w:t>wide area (</w:t>
      </w:r>
      <w:r>
        <w:rPr>
          <w:lang w:val="en-GB" w:eastAsia="ja-JP"/>
        </w:rPr>
        <w:t>WA</w:t>
      </w:r>
      <w:r w:rsidR="008A585F">
        <w:rPr>
          <w:lang w:val="en-GB" w:eastAsia="ja-JP"/>
        </w:rPr>
        <w:t>)</w:t>
      </w:r>
      <w:r>
        <w:rPr>
          <w:lang w:val="en-GB" w:eastAsia="ja-JP"/>
        </w:rPr>
        <w:t xml:space="preserve"> BS class, it may be sufficient to include a note together with the ATG class description that unless otherwise stated, ATG BS requirements are the same as WA requirements, and add additions for ATG BS only where needed.</w:t>
      </w:r>
    </w:p>
    <w:p w14:paraId="1554E765" w14:textId="393B9E74" w:rsidR="00894904" w:rsidRDefault="00894904" w:rsidP="00894904">
      <w:pPr>
        <w:pStyle w:val="Proposal"/>
        <w:rPr>
          <w:lang w:val="en-GB"/>
        </w:rPr>
      </w:pPr>
      <w:bookmarkStart w:id="2" w:name="_Toc115278884"/>
      <w:r>
        <w:rPr>
          <w:lang w:val="en-GB"/>
        </w:rPr>
        <w:t xml:space="preserve">Consider </w:t>
      </w:r>
      <w:r w:rsidR="0017291D">
        <w:rPr>
          <w:lang w:val="en-GB"/>
        </w:rPr>
        <w:t>adding</w:t>
      </w:r>
      <w:r>
        <w:rPr>
          <w:lang w:val="en-GB"/>
        </w:rPr>
        <w:t xml:space="preserve"> a note after the class definition that ATG BS requirements are, unless otherwise stated</w:t>
      </w:r>
      <w:r w:rsidR="0017291D">
        <w:rPr>
          <w:lang w:val="en-GB"/>
        </w:rPr>
        <w:t>,</w:t>
      </w:r>
      <w:r>
        <w:rPr>
          <w:lang w:val="en-GB"/>
        </w:rPr>
        <w:t xml:space="preserve"> the same as WA BS requirements.</w:t>
      </w:r>
      <w:bookmarkEnd w:id="2"/>
    </w:p>
    <w:p w14:paraId="61640F89" w14:textId="36CE321C" w:rsidR="00894904" w:rsidRDefault="005754D5" w:rsidP="00876A69">
      <w:pPr>
        <w:rPr>
          <w:lang w:val="en-GB" w:eastAsia="ja-JP"/>
        </w:rPr>
      </w:pPr>
      <w:r>
        <w:rPr>
          <w:lang w:val="en-GB" w:eastAsia="ja-JP"/>
        </w:rPr>
        <w:t xml:space="preserve">BS types </w:t>
      </w:r>
      <w:r w:rsidR="002D53B1">
        <w:rPr>
          <w:lang w:val="en-GB" w:eastAsia="ja-JP"/>
        </w:rPr>
        <w:t xml:space="preserve">1-H and 1-O (i.e., AAS) were agreed, but 1-C (i.e., non-AAS) was left FFS. According to </w:t>
      </w:r>
      <w:r w:rsidR="00715CF4">
        <w:rPr>
          <w:lang w:val="en-GB" w:eastAsia="ja-JP"/>
        </w:rPr>
        <w:t>our</w:t>
      </w:r>
      <w:r w:rsidR="002D53B1">
        <w:rPr>
          <w:lang w:val="en-GB" w:eastAsia="ja-JP"/>
        </w:rPr>
        <w:t xml:space="preserve"> link budget analysis</w:t>
      </w:r>
      <w:r w:rsidR="00715CF4">
        <w:rPr>
          <w:lang w:val="en-GB" w:eastAsia="ja-JP"/>
        </w:rPr>
        <w:t xml:space="preserve"> </w:t>
      </w:r>
      <w:r w:rsidR="00715CF4">
        <w:rPr>
          <w:lang w:val="en-GB" w:eastAsia="ja-JP"/>
        </w:rPr>
        <w:fldChar w:fldCharType="begin"/>
      </w:r>
      <w:r w:rsidR="00715CF4">
        <w:rPr>
          <w:lang w:val="en-GB" w:eastAsia="ja-JP"/>
        </w:rPr>
        <w:instrText xml:space="preserve"> REF _Ref115278819 \r \h </w:instrText>
      </w:r>
      <w:r w:rsidR="00715CF4">
        <w:rPr>
          <w:lang w:val="en-GB" w:eastAsia="ja-JP"/>
        </w:rPr>
      </w:r>
      <w:r w:rsidR="00715CF4">
        <w:rPr>
          <w:lang w:val="en-GB" w:eastAsia="ja-JP"/>
        </w:rPr>
        <w:fldChar w:fldCharType="separate"/>
      </w:r>
      <w:r w:rsidR="005D4D42">
        <w:rPr>
          <w:lang w:val="en-GB" w:eastAsia="ja-JP"/>
        </w:rPr>
        <w:t>[1]</w:t>
      </w:r>
      <w:r w:rsidR="00715CF4">
        <w:rPr>
          <w:lang w:val="en-GB" w:eastAsia="ja-JP"/>
        </w:rPr>
        <w:fldChar w:fldCharType="end"/>
      </w:r>
      <w:r w:rsidR="002D53B1">
        <w:rPr>
          <w:lang w:val="en-GB" w:eastAsia="ja-JP"/>
        </w:rPr>
        <w:t>, it is necessary to use a beamforming array for the ATG BS.</w:t>
      </w:r>
      <w:r w:rsidR="0095373F">
        <w:rPr>
          <w:lang w:val="en-GB" w:eastAsia="ja-JP"/>
        </w:rPr>
        <w:t xml:space="preserve"> Thus</w:t>
      </w:r>
      <w:r w:rsidR="00A17B8B">
        <w:rPr>
          <w:lang w:val="en-GB" w:eastAsia="ja-JP"/>
        </w:rPr>
        <w:t>,</w:t>
      </w:r>
      <w:r w:rsidR="0095373F">
        <w:rPr>
          <w:lang w:val="en-GB" w:eastAsia="ja-JP"/>
        </w:rPr>
        <w:t xml:space="preserve"> in our view 1-H and 1-O are sufficient.</w:t>
      </w:r>
    </w:p>
    <w:p w14:paraId="7D0DD585" w14:textId="7EED28A4" w:rsidR="0095373F" w:rsidRDefault="0095373F" w:rsidP="0095373F">
      <w:pPr>
        <w:pStyle w:val="Proposal"/>
        <w:rPr>
          <w:lang w:val="en-GB"/>
        </w:rPr>
      </w:pPr>
      <w:bookmarkStart w:id="3" w:name="_Toc115278885"/>
      <w:r>
        <w:rPr>
          <w:lang w:val="en-GB"/>
        </w:rPr>
        <w:t>1-H and 1-O (AAS) are sufficient for the ATG BS requirements</w:t>
      </w:r>
      <w:bookmarkEnd w:id="3"/>
    </w:p>
    <w:p w14:paraId="162625FA" w14:textId="7FF0D257" w:rsidR="00F63950" w:rsidRDefault="00230D18" w:rsidP="00F63950">
      <w:pPr>
        <w:pStyle w:val="Heading2"/>
      </w:pPr>
      <w:r>
        <w:t>2.2</w:t>
      </w:r>
      <w:r>
        <w:tab/>
      </w:r>
      <w:r w:rsidR="00894904">
        <w:t>Transmitter requirements</w:t>
      </w:r>
    </w:p>
    <w:p w14:paraId="46C2D8A6" w14:textId="40E5DD06" w:rsidR="00896DF4" w:rsidRDefault="00896DF4" w:rsidP="00A04F49">
      <w:pPr>
        <w:pStyle w:val="BodyText"/>
      </w:pPr>
      <w:r>
        <w:t>The only transmitter requirements that were not fully agreed were the EVM and the ACLR</w:t>
      </w:r>
      <w:r w:rsidR="00FC3E9A">
        <w:t xml:space="preserve"> and OBUE.</w:t>
      </w:r>
    </w:p>
    <w:p w14:paraId="4D5D092B" w14:textId="3CCFB4CF" w:rsidR="00FC3E9A" w:rsidRDefault="00FC3E9A" w:rsidP="00A04F49">
      <w:pPr>
        <w:pStyle w:val="BodyText"/>
      </w:pPr>
      <w:r>
        <w:t>The ACLR and OBUE depend on the outcome of the co-existence study.</w:t>
      </w:r>
    </w:p>
    <w:p w14:paraId="07583ACD" w14:textId="55A8627F" w:rsidR="00FC3E9A" w:rsidRDefault="00FC3E9A" w:rsidP="00A04F49">
      <w:pPr>
        <w:pStyle w:val="BodyText"/>
      </w:pPr>
      <w:r>
        <w:lastRenderedPageBreak/>
        <w:t xml:space="preserve">Regarding the EVM, the open issue is whether to include support for 256QAM. </w:t>
      </w:r>
      <w:r w:rsidR="00847716">
        <w:t>Link level studies</w:t>
      </w:r>
      <w:r w:rsidR="00D53BEF">
        <w:t xml:space="preserve"> [1]</w:t>
      </w:r>
      <w:r w:rsidR="00847716">
        <w:t xml:space="preserve"> suggest that high SNR can be achieved on the ATG link. Furthermore, it is necessary to provide high capacity, since the ATG link is effectively a </w:t>
      </w:r>
      <w:proofErr w:type="gramStart"/>
      <w:r w:rsidR="00847716">
        <w:t>backhaul</w:t>
      </w:r>
      <w:proofErr w:type="gramEnd"/>
      <w:r w:rsidR="00847716">
        <w:t xml:space="preserve"> link covering all of the passengers in the aircraft. </w:t>
      </w:r>
      <w:r w:rsidR="00BB48CE">
        <w:t>Considering the good available SNR and the need to provide high capacity, 256QAM support is necessary.</w:t>
      </w:r>
    </w:p>
    <w:p w14:paraId="66B5D7F4" w14:textId="6CEEB6A8" w:rsidR="00BB48CE" w:rsidRDefault="00BB48CE" w:rsidP="00BB48CE">
      <w:pPr>
        <w:pStyle w:val="Proposal"/>
      </w:pPr>
      <w:bookmarkStart w:id="4" w:name="_Toc115278886"/>
      <w:r>
        <w:t xml:space="preserve">Support 256QAM in the </w:t>
      </w:r>
      <w:r w:rsidR="00C732D5">
        <w:t xml:space="preserve">ATG </w:t>
      </w:r>
      <w:r>
        <w:t>BS specification.</w:t>
      </w:r>
      <w:bookmarkEnd w:id="4"/>
    </w:p>
    <w:p w14:paraId="430ED096" w14:textId="77777777" w:rsidR="000F681B" w:rsidRDefault="000F681B" w:rsidP="000F681B">
      <w:pPr>
        <w:pStyle w:val="Proposal"/>
        <w:numPr>
          <w:ilvl w:val="0"/>
          <w:numId w:val="0"/>
        </w:numPr>
        <w:ind w:left="1701"/>
      </w:pPr>
    </w:p>
    <w:p w14:paraId="1963DDAC" w14:textId="07DF2278" w:rsidR="00F63950" w:rsidRDefault="00230D18" w:rsidP="00F63950">
      <w:pPr>
        <w:pStyle w:val="Heading2"/>
      </w:pPr>
      <w:r>
        <w:t>2.3</w:t>
      </w:r>
      <w:r>
        <w:tab/>
      </w:r>
      <w:r w:rsidR="000F681B">
        <w:t>Receiver requirements</w:t>
      </w:r>
    </w:p>
    <w:p w14:paraId="45E0A22A" w14:textId="6AE7C62F" w:rsidR="005D3F91" w:rsidRDefault="005D3F91" w:rsidP="00A04F49">
      <w:pPr>
        <w:pStyle w:val="BodyText"/>
      </w:pPr>
      <w:r>
        <w:t xml:space="preserve">The RX ACS </w:t>
      </w:r>
      <w:r w:rsidR="00B336A1">
        <w:t>and blocking requirements depend on the outcome of the co-existence study.</w:t>
      </w:r>
    </w:p>
    <w:p w14:paraId="58AAE5B8" w14:textId="4ED88DC3" w:rsidR="00B336A1" w:rsidRDefault="00B336A1" w:rsidP="00A04F49">
      <w:pPr>
        <w:pStyle w:val="BodyText"/>
      </w:pPr>
      <w:r>
        <w:t xml:space="preserve">During RAN4#104-e, it was agreed to not define RX IM requirements as there will not be interfering UEs close to the ATG BS. Whilst this may be true, in fact RX IM sets a minimum requirement on LNA linearity. Without the requirement, there is no requirement directly relating to receiver IIP3 and an ATG BS receiver may not perform as well as a terrestrial BS. We encourage RAN4 to double check </w:t>
      </w:r>
      <w:r w:rsidR="00596ADD">
        <w:t>whether it is good to remove RX IM.</w:t>
      </w:r>
    </w:p>
    <w:p w14:paraId="3879E8F8" w14:textId="6AF491E9" w:rsidR="00C473A5" w:rsidRDefault="00596ADD" w:rsidP="00CE0424">
      <w:pPr>
        <w:pStyle w:val="Proposal"/>
        <w:sectPr w:rsidR="00C473A5" w:rsidSect="00596ADD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5" w:name="_Toc115278887"/>
      <w:r>
        <w:t>RAN4 to double check whether it is good to remove the RX IM requirement, since then there is no requirement relating to receiver IIP3 performance.</w:t>
      </w:r>
      <w:bookmarkEnd w:id="5"/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330E689" w14:textId="1EFDAD51" w:rsidR="005D4D4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5278883" w:history="1">
        <w:r w:rsidR="005D4D42" w:rsidRPr="00E03FBB">
          <w:rPr>
            <w:rStyle w:val="Hyperlink"/>
            <w:noProof/>
            <w:lang w:val="en-GB"/>
          </w:rPr>
          <w:t>Proposal 1</w:t>
        </w:r>
        <w:r w:rsidR="005D4D4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D4D42" w:rsidRPr="00E03FBB">
          <w:rPr>
            <w:rStyle w:val="Hyperlink"/>
            <w:noProof/>
            <w:lang w:val="en-GB"/>
          </w:rPr>
          <w:t>Confirm the following description for the ATG BS class: “ATG Base Stations are characterized by requirements derived from ATG scenarios with a ground BS to air UE with typical vertical altitude range [TBD km]”</w:t>
        </w:r>
      </w:hyperlink>
    </w:p>
    <w:p w14:paraId="1608FE5F" w14:textId="555A7185" w:rsidR="005D4D42" w:rsidRDefault="00834DF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278884" w:history="1">
        <w:r w:rsidR="005D4D42" w:rsidRPr="00E03FBB">
          <w:rPr>
            <w:rStyle w:val="Hyperlink"/>
            <w:noProof/>
            <w:lang w:val="en-GB"/>
          </w:rPr>
          <w:t>Proposal 2</w:t>
        </w:r>
        <w:r w:rsidR="005D4D4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D4D42" w:rsidRPr="00E03FBB">
          <w:rPr>
            <w:rStyle w:val="Hyperlink"/>
            <w:noProof/>
            <w:lang w:val="en-GB"/>
          </w:rPr>
          <w:t>Consider adding a note after the class definition that ATG BS requirements are, unless otherwise stated, the same as WA BS requirements.</w:t>
        </w:r>
      </w:hyperlink>
    </w:p>
    <w:p w14:paraId="72134BDD" w14:textId="6B017DE0" w:rsidR="005D4D42" w:rsidRDefault="00834DF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278885" w:history="1">
        <w:r w:rsidR="005D4D42" w:rsidRPr="00E03FBB">
          <w:rPr>
            <w:rStyle w:val="Hyperlink"/>
            <w:noProof/>
            <w:lang w:val="en-GB"/>
          </w:rPr>
          <w:t>Proposal 3</w:t>
        </w:r>
        <w:r w:rsidR="005D4D4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D4D42" w:rsidRPr="00E03FBB">
          <w:rPr>
            <w:rStyle w:val="Hyperlink"/>
            <w:noProof/>
            <w:lang w:val="en-GB"/>
          </w:rPr>
          <w:t>1-H and 1-O (AAS) are sufficient for the ATG BS requirements</w:t>
        </w:r>
      </w:hyperlink>
    </w:p>
    <w:p w14:paraId="695256D1" w14:textId="423EF196" w:rsidR="005D4D42" w:rsidRDefault="00834DF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278886" w:history="1">
        <w:r w:rsidR="005D4D42" w:rsidRPr="00E03FBB">
          <w:rPr>
            <w:rStyle w:val="Hyperlink"/>
            <w:noProof/>
          </w:rPr>
          <w:t>Proposal 4</w:t>
        </w:r>
        <w:r w:rsidR="005D4D4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D4D42" w:rsidRPr="00E03FBB">
          <w:rPr>
            <w:rStyle w:val="Hyperlink"/>
            <w:noProof/>
          </w:rPr>
          <w:t>Support 256QAM in the BS specification.</w:t>
        </w:r>
      </w:hyperlink>
    </w:p>
    <w:p w14:paraId="16D981BF" w14:textId="7EA87818" w:rsidR="005D4D42" w:rsidRDefault="00834DF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278887" w:history="1">
        <w:r w:rsidR="005D4D42" w:rsidRPr="00E03FBB">
          <w:rPr>
            <w:rStyle w:val="Hyperlink"/>
            <w:noProof/>
          </w:rPr>
          <w:t>Proposal 5</w:t>
        </w:r>
        <w:r w:rsidR="005D4D4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D4D42" w:rsidRPr="00E03FBB">
          <w:rPr>
            <w:rStyle w:val="Hyperlink"/>
            <w:noProof/>
          </w:rPr>
          <w:t>RAN4 to double check whether it is good to remove the RX IM requirement, since then there is no requirement relating to receiver IIP3 performance.</w:t>
        </w:r>
      </w:hyperlink>
    </w:p>
    <w:p w14:paraId="747C743C" w14:textId="34C619F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77C5E852" w14:textId="348C718A" w:rsidR="005F3025" w:rsidRPr="00CE0424" w:rsidRDefault="001937A1" w:rsidP="00311702">
      <w:pPr>
        <w:pStyle w:val="Reference"/>
      </w:pPr>
      <w:bookmarkStart w:id="7" w:name="_Ref115277646"/>
      <w:bookmarkStart w:id="8" w:name="_Ref115278819"/>
      <w:bookmarkStart w:id="9" w:name="_Ref174151459"/>
      <w:bookmarkStart w:id="10" w:name="_Ref189809556"/>
      <w:r>
        <w:t>R4-2262617</w:t>
      </w:r>
      <w:r w:rsidRPr="00CE0424">
        <w:t xml:space="preserve">, </w:t>
      </w:r>
      <w:r>
        <w:rPr>
          <w:sz w:val="22"/>
        </w:rPr>
        <w:t>Air to Ground link budget considerations</w:t>
      </w:r>
      <w:r w:rsidRPr="00CE0424">
        <w:t xml:space="preserve">, </w:t>
      </w:r>
      <w:r>
        <w:t>Ericsson</w:t>
      </w:r>
      <w:r w:rsidRPr="00CE0424">
        <w:t xml:space="preserve">, </w:t>
      </w:r>
      <w:r>
        <w:t>RAN4#104-e</w:t>
      </w:r>
      <w:r w:rsidRPr="00CE0424">
        <w:t xml:space="preserve">, </w:t>
      </w:r>
      <w:r>
        <w:t>August 2022</w:t>
      </w:r>
      <w:bookmarkEnd w:id="7"/>
      <w:bookmarkEnd w:id="8"/>
    </w:p>
    <w:bookmarkEnd w:id="9"/>
    <w:bookmarkEnd w:id="10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ABA9C" w14:textId="77777777" w:rsidR="002A578E" w:rsidRDefault="002A578E">
      <w:r>
        <w:separator/>
      </w:r>
    </w:p>
  </w:endnote>
  <w:endnote w:type="continuationSeparator" w:id="0">
    <w:p w14:paraId="58ADE639" w14:textId="77777777" w:rsidR="002A578E" w:rsidRDefault="002A578E">
      <w:r>
        <w:continuationSeparator/>
      </w:r>
    </w:p>
  </w:endnote>
  <w:endnote w:type="continuationNotice" w:id="1">
    <w:p w14:paraId="3FC86BFC" w14:textId="77777777" w:rsidR="002A578E" w:rsidRDefault="002A5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5E7FC" w14:textId="77777777" w:rsidR="002A578E" w:rsidRDefault="002A578E">
      <w:r>
        <w:separator/>
      </w:r>
    </w:p>
  </w:footnote>
  <w:footnote w:type="continuationSeparator" w:id="0">
    <w:p w14:paraId="62A0D289" w14:textId="77777777" w:rsidR="002A578E" w:rsidRDefault="002A578E">
      <w:r>
        <w:continuationSeparator/>
      </w:r>
    </w:p>
  </w:footnote>
  <w:footnote w:type="continuationNotice" w:id="1">
    <w:p w14:paraId="48ADBB28" w14:textId="77777777" w:rsidR="002A578E" w:rsidRDefault="002A57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20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66D"/>
    <w:rsid w:val="000F681B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9FF"/>
    <w:rsid w:val="001659C1"/>
    <w:rsid w:val="0017291D"/>
    <w:rsid w:val="00173A8E"/>
    <w:rsid w:val="0017502C"/>
    <w:rsid w:val="0018143F"/>
    <w:rsid w:val="00181FF8"/>
    <w:rsid w:val="00190AC1"/>
    <w:rsid w:val="00192539"/>
    <w:rsid w:val="0019341A"/>
    <w:rsid w:val="001937A1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3B1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30A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54D5"/>
    <w:rsid w:val="00582809"/>
    <w:rsid w:val="00586682"/>
    <w:rsid w:val="0058798C"/>
    <w:rsid w:val="005900FA"/>
    <w:rsid w:val="005935A4"/>
    <w:rsid w:val="005948C2"/>
    <w:rsid w:val="00595DCA"/>
    <w:rsid w:val="00596ADD"/>
    <w:rsid w:val="0059779B"/>
    <w:rsid w:val="005A209A"/>
    <w:rsid w:val="005A662D"/>
    <w:rsid w:val="005B1409"/>
    <w:rsid w:val="005B35D7"/>
    <w:rsid w:val="005B392A"/>
    <w:rsid w:val="005B3AA3"/>
    <w:rsid w:val="005B6F83"/>
    <w:rsid w:val="005C6287"/>
    <w:rsid w:val="005C74FB"/>
    <w:rsid w:val="005D1602"/>
    <w:rsid w:val="005D3F91"/>
    <w:rsid w:val="005D4D4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5A2A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5CF4"/>
    <w:rsid w:val="00721B32"/>
    <w:rsid w:val="007257D0"/>
    <w:rsid w:val="00726EA6"/>
    <w:rsid w:val="00727208"/>
    <w:rsid w:val="00727680"/>
    <w:rsid w:val="007348B1"/>
    <w:rsid w:val="007362A6"/>
    <w:rsid w:val="00736D7D"/>
    <w:rsid w:val="00740DD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DF2"/>
    <w:rsid w:val="008376AC"/>
    <w:rsid w:val="008444E8"/>
    <w:rsid w:val="00844E80"/>
    <w:rsid w:val="00846FE7"/>
    <w:rsid w:val="0084771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A69"/>
    <w:rsid w:val="00876B4D"/>
    <w:rsid w:val="00877F18"/>
    <w:rsid w:val="008941E3"/>
    <w:rsid w:val="00894904"/>
    <w:rsid w:val="00894A88"/>
    <w:rsid w:val="00895386"/>
    <w:rsid w:val="00896DF4"/>
    <w:rsid w:val="008A21FF"/>
    <w:rsid w:val="008A2CE2"/>
    <w:rsid w:val="008A30AC"/>
    <w:rsid w:val="008A44B8"/>
    <w:rsid w:val="008A51A8"/>
    <w:rsid w:val="008A54C7"/>
    <w:rsid w:val="008A585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3979"/>
    <w:rsid w:val="009368F3"/>
    <w:rsid w:val="00941636"/>
    <w:rsid w:val="00943742"/>
    <w:rsid w:val="00945C05"/>
    <w:rsid w:val="00946945"/>
    <w:rsid w:val="00947713"/>
    <w:rsid w:val="00950DE7"/>
    <w:rsid w:val="0095373F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0F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B8B"/>
    <w:rsid w:val="00A17F63"/>
    <w:rsid w:val="00A2193B"/>
    <w:rsid w:val="00A2351A"/>
    <w:rsid w:val="00A24BE8"/>
    <w:rsid w:val="00A264A9"/>
    <w:rsid w:val="00A26DCF"/>
    <w:rsid w:val="00A27785"/>
    <w:rsid w:val="00A30187"/>
    <w:rsid w:val="00A3448A"/>
    <w:rsid w:val="00A36297"/>
    <w:rsid w:val="00A41E2B"/>
    <w:rsid w:val="00A447C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36A1"/>
    <w:rsid w:val="00B372AA"/>
    <w:rsid w:val="00B377A5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75D3F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8CE"/>
    <w:rsid w:val="00BB51E9"/>
    <w:rsid w:val="00BC0FDC"/>
    <w:rsid w:val="00BC3053"/>
    <w:rsid w:val="00BC4D2E"/>
    <w:rsid w:val="00BC5FF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32D5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7CB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54E"/>
    <w:rsid w:val="00D53BEF"/>
    <w:rsid w:val="00D546FF"/>
    <w:rsid w:val="00D55AD5"/>
    <w:rsid w:val="00D576CA"/>
    <w:rsid w:val="00D61AF5"/>
    <w:rsid w:val="00D63E4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648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E9A"/>
    <w:rsid w:val="00FC7429"/>
    <w:rsid w:val="00FD07F6"/>
    <w:rsid w:val="00FD1EC8"/>
    <w:rsid w:val="00FD47ED"/>
    <w:rsid w:val="00FD65D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A70F3BE4-CBCD-40BF-A4F5-632A6C0D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documentManagement/types"/>
    <ds:schemaRef ds:uri="http://schemas.microsoft.com/sharepoint/v3"/>
    <ds:schemaRef ds:uri="http://purl.org/dc/dcmitype/"/>
    <ds:schemaRef ds:uri="http://www.w3.org/XML/1998/namespace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656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33</cp:revision>
  <cp:lastPrinted>2008-01-31T07:09:00Z</cp:lastPrinted>
  <dcterms:created xsi:type="dcterms:W3CDTF">2020-08-13T21:21:00Z</dcterms:created>
  <dcterms:modified xsi:type="dcterms:W3CDTF">2022-09-30T12:57:00Z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